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CCBCF">
      <w:pPr>
        <w:jc w:val="center"/>
        <w:rPr>
          <w:rFonts w:ascii="仿宋_GB2312" w:hAnsi="宋体" w:eastAsia="仿宋_GB2312"/>
          <w:b/>
          <w:sz w:val="24"/>
        </w:rPr>
      </w:pPr>
      <w:r>
        <w:rPr>
          <w:rFonts w:hint="eastAsia" w:ascii="仿宋_GB2312" w:hAnsi="宋体" w:eastAsia="仿宋_GB2312" w:cs="宋体"/>
          <w:b/>
          <w:bCs/>
          <w:color w:val="000000"/>
          <w:kern w:val="0"/>
          <w:sz w:val="32"/>
          <w:szCs w:val="32"/>
        </w:rPr>
        <w:t>工程量清单编制说明</w:t>
      </w:r>
    </w:p>
    <w:p w14:paraId="3DDE5FAC">
      <w:pPr>
        <w:keepNext w:val="0"/>
        <w:keepLines w:val="0"/>
        <w:pageBreakBefore w:val="0"/>
        <w:kinsoku/>
        <w:wordWrap/>
        <w:overflowPunct/>
        <w:topLinePunct w:val="0"/>
        <w:autoSpaceDE/>
        <w:autoSpaceDN/>
        <w:bidi w:val="0"/>
        <w:adjustRightInd/>
        <w:snapToGrid/>
        <w:spacing w:line="500" w:lineRule="exact"/>
        <w:textAlignment w:val="auto"/>
        <w:rPr>
          <w:rFonts w:ascii="仿宋_GB2312" w:hAnsi="宋体" w:eastAsia="仿宋_GB2312"/>
          <w:b/>
          <w:sz w:val="24"/>
        </w:rPr>
      </w:pPr>
      <w:r>
        <w:rPr>
          <w:rFonts w:hint="eastAsia" w:ascii="仿宋_GB2312" w:hAnsi="宋体" w:eastAsia="仿宋_GB2312"/>
          <w:b/>
          <w:sz w:val="24"/>
        </w:rPr>
        <w:t>一、工程概况</w:t>
      </w:r>
    </w:p>
    <w:p w14:paraId="7FAC5D1D">
      <w:pPr>
        <w:pStyle w:val="18"/>
        <w:pageBreakBefore w:val="0"/>
        <w:kinsoku/>
        <w:wordWrap/>
        <w:overflowPunct/>
        <w:topLinePunct w:val="0"/>
        <w:autoSpaceDE/>
        <w:autoSpaceDN/>
        <w:bidi w:val="0"/>
        <w:adjustRightInd/>
        <w:snapToGrid/>
        <w:spacing w:line="500" w:lineRule="exact"/>
        <w:textAlignment w:val="auto"/>
        <w:rPr>
          <w:rFonts w:hint="eastAsia"/>
          <w:lang w:eastAsia="zh-CN"/>
        </w:rPr>
      </w:pPr>
      <w:r>
        <w:rPr>
          <w:rFonts w:hint="eastAsia" w:ascii="仿宋" w:hAnsi="仿宋" w:eastAsia="仿宋" w:cs="仿宋"/>
          <w:kern w:val="2"/>
          <w:sz w:val="24"/>
          <w:szCs w:val="24"/>
          <w:lang w:val="en-US" w:eastAsia="zh-CN" w:bidi="ar-SA"/>
        </w:rPr>
        <w:t>工程名称：工投科技产业园综合楼内装饰工程，本项目位于滁州市,主要内容为：室内地面、墙面、天棚吊顶装饰、墙体拆除与新建、门窗换新、水电敷设、消防水电改造、空调系统安装，弱电系统安装，电器安装等。</w:t>
      </w:r>
    </w:p>
    <w:p w14:paraId="5CD2F4F4">
      <w:pPr>
        <w:keepNext w:val="0"/>
        <w:keepLines w:val="0"/>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二、编制范围</w:t>
      </w:r>
    </w:p>
    <w:p w14:paraId="5828CBD5">
      <w:pPr>
        <w:pStyle w:val="17"/>
        <w:keepNext w:val="0"/>
        <w:keepLines w:val="0"/>
        <w:pageBreakBefore w:val="0"/>
        <w:widowControl/>
        <w:kinsoku/>
        <w:wordWrap/>
        <w:overflowPunct/>
        <w:topLinePunct w:val="0"/>
        <w:autoSpaceDE/>
        <w:autoSpaceDN/>
        <w:bidi w:val="0"/>
        <w:adjustRightInd/>
        <w:snapToGrid/>
        <w:spacing w:beforeAutospacing="0" w:afterAutospacing="0" w:line="500" w:lineRule="exact"/>
        <w:ind w:firstLine="480" w:firstLineChars="200"/>
        <w:textAlignment w:val="auto"/>
        <w:rPr>
          <w:rFonts w:ascii="仿宋" w:hAnsi="仿宋" w:eastAsia="仿宋" w:cs="仿宋"/>
          <w:kern w:val="2"/>
        </w:rPr>
      </w:pPr>
      <w:r>
        <w:rPr>
          <w:rFonts w:hint="eastAsia" w:ascii="仿宋" w:hAnsi="仿宋" w:eastAsia="仿宋" w:cs="仿宋"/>
          <w:kern w:val="2"/>
        </w:rPr>
        <w:t>编制范围：</w:t>
      </w:r>
      <w:r>
        <w:rPr>
          <w:rFonts w:hint="eastAsia" w:ascii="仿宋" w:hAnsi="仿宋" w:eastAsia="仿宋" w:cs="仿宋"/>
          <w:kern w:val="2"/>
          <w:lang w:eastAsia="zh-CN"/>
        </w:rPr>
        <w:t>工投科技产业园综合楼内装饰工程施工招标清单及控制价编制</w:t>
      </w:r>
      <w:r>
        <w:rPr>
          <w:rFonts w:hint="eastAsia" w:ascii="仿宋" w:hAnsi="仿宋" w:eastAsia="仿宋" w:cs="仿宋"/>
          <w:kern w:val="2"/>
        </w:rPr>
        <w:t>。</w:t>
      </w:r>
    </w:p>
    <w:p w14:paraId="10331F72">
      <w:pPr>
        <w:keepNext w:val="0"/>
        <w:keepLines w:val="0"/>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三、工程量清单编制依据</w:t>
      </w:r>
      <w:r>
        <w:rPr>
          <w:rFonts w:hint="eastAsia" w:asciiTheme="minorEastAsia" w:hAnsiTheme="minorEastAsia" w:eastAsiaTheme="minorEastAsia" w:cstheme="minorEastAsia"/>
          <w:sz w:val="24"/>
        </w:rPr>
        <w:t>：</w:t>
      </w:r>
    </w:p>
    <w:p w14:paraId="63F7A8F0">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1、依据招标人提供的招标文件、施工图纸；</w:t>
      </w:r>
    </w:p>
    <w:p w14:paraId="1A84CF5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2、《建设工程工程量清单计价规范》(GB50500-2013)；</w:t>
      </w:r>
    </w:p>
    <w:p w14:paraId="17FDE7A8">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3、2018版《安徽省建设工程工程量清单计价办法》；</w:t>
      </w:r>
    </w:p>
    <w:p w14:paraId="5C35A0A7">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4、省、市截止202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8</w:t>
      </w:r>
      <w:r>
        <w:rPr>
          <w:rFonts w:hint="eastAsia" w:ascii="仿宋" w:hAnsi="仿宋" w:eastAsia="仿宋" w:cs="仿宋"/>
          <w:sz w:val="24"/>
        </w:rPr>
        <w:t>月的有关政策性文件。</w:t>
      </w:r>
    </w:p>
    <w:p w14:paraId="451DBC44">
      <w:pPr>
        <w:keepNext w:val="0"/>
        <w:keepLines w:val="0"/>
        <w:pageBreakBefore w:val="0"/>
        <w:kinsoku/>
        <w:wordWrap/>
        <w:overflowPunct/>
        <w:topLinePunct w:val="0"/>
        <w:autoSpaceDE/>
        <w:autoSpaceDN/>
        <w:bidi w:val="0"/>
        <w:adjustRightInd/>
        <w:snapToGrid/>
        <w:spacing w:line="500" w:lineRule="exact"/>
        <w:textAlignment w:val="auto"/>
        <w:rPr>
          <w:rFonts w:ascii="宋体" w:hAnsi="宋体" w:cs="宋体"/>
          <w:b/>
          <w:sz w:val="24"/>
        </w:rPr>
      </w:pPr>
      <w:r>
        <w:rPr>
          <w:rFonts w:hint="eastAsia" w:asciiTheme="minorEastAsia" w:hAnsiTheme="minorEastAsia" w:eastAsiaTheme="minorEastAsia" w:cstheme="minorEastAsia"/>
          <w:b/>
          <w:bCs/>
          <w:sz w:val="24"/>
        </w:rPr>
        <w:t>四、</w:t>
      </w:r>
      <w:r>
        <w:rPr>
          <w:rFonts w:hint="eastAsia" w:ascii="宋体" w:hAnsi="宋体" w:cs="宋体"/>
          <w:b/>
          <w:bCs/>
          <w:sz w:val="24"/>
        </w:rPr>
        <w:t>取费标准</w:t>
      </w:r>
      <w:r>
        <w:rPr>
          <w:rFonts w:hint="eastAsia" w:ascii="宋体" w:hAnsi="宋体" w:cs="宋体"/>
          <w:b/>
          <w:sz w:val="24"/>
        </w:rPr>
        <w:t>：</w:t>
      </w:r>
    </w:p>
    <w:p w14:paraId="35D472D0">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w:t>
      </w:r>
      <w:r>
        <w:rPr>
          <w:rFonts w:hint="eastAsia" w:ascii="仿宋" w:hAnsi="仿宋" w:eastAsia="仿宋" w:cs="仿宋"/>
          <w:sz w:val="24"/>
          <w:lang w:val="en-US" w:eastAsia="zh-CN"/>
        </w:rPr>
        <w:t>关于发布《安徽省建设工程计价依据动态调整（第1期）》的公告</w:t>
      </w:r>
      <w:r>
        <w:rPr>
          <w:rFonts w:hint="eastAsia" w:ascii="仿宋" w:hAnsi="仿宋" w:eastAsia="仿宋" w:cs="仿宋"/>
          <w:sz w:val="24"/>
          <w:lang w:eastAsia="zh-CN"/>
        </w:rPr>
        <w:t>》</w:t>
      </w:r>
      <w:r>
        <w:rPr>
          <w:rFonts w:hint="eastAsia" w:ascii="仿宋" w:hAnsi="仿宋" w:eastAsia="仿宋" w:cs="仿宋"/>
          <w:sz w:val="24"/>
          <w:lang w:val="en-US" w:eastAsia="zh-CN"/>
        </w:rPr>
        <w:t>安徽省住房和城乡建设厅公告第51号</w:t>
      </w:r>
      <w:r>
        <w:rPr>
          <w:rFonts w:hint="eastAsia" w:ascii="仿宋" w:hAnsi="仿宋" w:eastAsia="仿宋" w:cs="仿宋"/>
          <w:sz w:val="24"/>
        </w:rPr>
        <w:t>；</w:t>
      </w:r>
    </w:p>
    <w:p w14:paraId="38EE5BB6">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2、税金执行造价【2019】7号文件按9%计入；</w:t>
      </w:r>
    </w:p>
    <w:p w14:paraId="3C01932A">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3、不可竞争费文件执行造价[2021]42号。</w:t>
      </w:r>
    </w:p>
    <w:p w14:paraId="68F561AF">
      <w:pPr>
        <w:pStyle w:val="17"/>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hint="eastAsia" w:ascii="宋体" w:hAnsi="宋体" w:cs="宋体"/>
          <w:b/>
          <w:bCs/>
          <w:kern w:val="2"/>
        </w:rPr>
      </w:pPr>
      <w:r>
        <w:rPr>
          <w:rFonts w:hint="eastAsia" w:ascii="宋体" w:hAnsi="宋体" w:cs="宋体"/>
          <w:b/>
          <w:bCs/>
          <w:kern w:val="2"/>
        </w:rPr>
        <w:t>五、编制说明</w:t>
      </w:r>
    </w:p>
    <w:p w14:paraId="2941EC5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ascii="仿宋" w:hAnsi="仿宋" w:eastAsia="仿宋" w:cs="仿宋"/>
          <w:kern w:val="2"/>
        </w:rPr>
      </w:pPr>
      <w:r>
        <w:rPr>
          <w:rFonts w:hint="eastAsia" w:ascii="仿宋" w:hAnsi="仿宋" w:eastAsia="仿宋" w:cs="仿宋"/>
          <w:kern w:val="2"/>
          <w:lang w:val="en-US" w:eastAsia="zh-CN"/>
        </w:rPr>
        <w:t>1、</w:t>
      </w:r>
      <w:r>
        <w:rPr>
          <w:rFonts w:hint="eastAsia" w:ascii="仿宋" w:hAnsi="仿宋" w:eastAsia="仿宋" w:cs="仿宋"/>
          <w:kern w:val="2"/>
        </w:rPr>
        <w:t>工程量清单列出的每个项目已包括涉及与该细目有关的全部工程内容，投标人应将工程量清单与合同通用条款、专用条款以及技术规范和图纸一起对照阅读；</w:t>
      </w:r>
    </w:p>
    <w:p w14:paraId="6E3D549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rPr>
      </w:pPr>
      <w:r>
        <w:rPr>
          <w:rFonts w:hint="eastAsia" w:ascii="仿宋" w:hAnsi="仿宋" w:eastAsia="仿宋" w:cs="仿宋"/>
          <w:kern w:val="2"/>
          <w:lang w:val="en-US" w:eastAsia="zh-CN"/>
        </w:rPr>
        <w:t>2、</w:t>
      </w:r>
      <w:r>
        <w:rPr>
          <w:rFonts w:hint="eastAsia" w:ascii="仿宋" w:hAnsi="仿宋" w:eastAsia="仿宋" w:cs="仿宋"/>
          <w:kern w:val="2"/>
        </w:rPr>
        <w:t>除非合同另有规定，综合单价均应已包括完成相应该项目的工程内容所需的所有人工、设备、材料和其他伴随服务所发生的所有费用；</w:t>
      </w:r>
    </w:p>
    <w:p w14:paraId="343E563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3、图纸上的玻璃雨棚取消；</w:t>
      </w:r>
    </w:p>
    <w:p w14:paraId="3C77127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4、图纸上二楼靠近公共卫生间的四个包间及附近走道、二楼公共卫生间的所有装饰面，皆不在本次范围内；</w:t>
      </w:r>
    </w:p>
    <w:p w14:paraId="33A1C8C7">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5、所有后厨新建墙体上的门及后厨吊顶</w:t>
      </w:r>
      <w:bookmarkStart w:id="0" w:name="_GoBack"/>
      <w:bookmarkEnd w:id="0"/>
      <w:r>
        <w:rPr>
          <w:rFonts w:hint="eastAsia" w:ascii="仿宋" w:hAnsi="仿宋" w:eastAsia="仿宋" w:cs="仿宋"/>
          <w:kern w:val="2"/>
          <w:lang w:val="en-US" w:eastAsia="zh-CN"/>
        </w:rPr>
        <w:t>不在本次范围内；</w:t>
      </w:r>
    </w:p>
    <w:p w14:paraId="3CCB7A90">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6、成品检修口在设计图纸中为施工单位现场确定数量，本清单暂按每层3个计算，结算时已实际发生为准；</w:t>
      </w:r>
    </w:p>
    <w:p w14:paraId="3956FB0B">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7、二、三楼的电梯门框不在本次范围内；</w:t>
      </w:r>
    </w:p>
    <w:p w14:paraId="1F03390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8、图纸中设计的干挂大理石处不采用，更换为壁布饰面；</w:t>
      </w:r>
    </w:p>
    <w:p w14:paraId="010FB1DE">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9、楼梯间及电间的防火门不更换；</w:t>
      </w:r>
    </w:p>
    <w:p w14:paraId="5A65E71A">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10、硅PU厚度以清单5mm厚为准；</w:t>
      </w:r>
    </w:p>
    <w:p w14:paraId="30DB4A8B">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11、办公室柜体、备餐桌、窗帘不在本次范围内；</w:t>
      </w:r>
    </w:p>
    <w:p w14:paraId="2F5655C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12、成品排水沟及后厨所有设备、用具不在本次范围内；</w:t>
      </w:r>
    </w:p>
    <w:p w14:paraId="5A20D178">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13、相同位置材料、做法，图纸与清单不一致的，以清单为准；</w:t>
      </w:r>
    </w:p>
    <w:p w14:paraId="7ECC062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14、取消砖墙面节点中的抹灰做法，以平面图的抹灰做法为准；</w:t>
      </w:r>
    </w:p>
    <w:p w14:paraId="155D272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firstLineChars="20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15、石膏板墙面使用壁布时，取消做法表中的抹灰层；</w:t>
      </w:r>
    </w:p>
    <w:p w14:paraId="2785F844">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16、墙面防水取消，地面上翻350mm；</w:t>
      </w:r>
    </w:p>
    <w:p w14:paraId="004F11E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17、办公室门含其上方的金属包框，工程量为门的洞口面积，施工方综合报价；</w:t>
      </w:r>
    </w:p>
    <w:p w14:paraId="4AF33F5F">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18、空调设备自带排水泵，提升高度不小于600mm,具体详见图纸设计，报价综合考虑；</w:t>
      </w:r>
    </w:p>
    <w:p w14:paraId="54C4CF5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19、包含弱电机房设备采购安装，设备参数需满足业主需求，此部分放入专业工程暂估价中，不在清单中体现；</w:t>
      </w:r>
    </w:p>
    <w:p w14:paraId="73BAF90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20、需实现二层空调单独计量，三层空调每个房间单独计量，此部分放入专业工程暂估价中，不在清单中体现；</w:t>
      </w:r>
    </w:p>
    <w:p w14:paraId="79342A7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21、消防改造部分，原拆除材料能利用部分尽量利用；</w:t>
      </w:r>
    </w:p>
    <w:p w14:paraId="028B67F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22、本工程不考虑非夜间施工照明费；</w:t>
      </w:r>
    </w:p>
    <w:p w14:paraId="3ADD591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23、本工程使用的成品柜体品牌要求如下其一：索菲亚、志邦、扬子；</w:t>
      </w:r>
    </w:p>
    <w:p w14:paraId="6B02BD7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24、本工程使用的墙砖及地砖品牌要求如下其一：东鹏、诺贝尔、冠珠、马可波罗；</w:t>
      </w:r>
    </w:p>
    <w:p w14:paraId="667B8B9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25、本工程使用的成品套装门品牌要求如下其一：王力、盼盼、扬子、美心；</w:t>
      </w:r>
    </w:p>
    <w:p w14:paraId="70727E0C">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26、本工程使用的涂料品牌要求如下其一：嘉宝莉、亚士、三棵树、立邦；</w:t>
      </w:r>
    </w:p>
    <w:p w14:paraId="4F32E7E2">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27、本工程使用的配电箱品牌要求如下其一：施耐德电气、德力西电气、SIEMENS西门子、正泰CHiNT、ABB、Panasonic松下、鸿雁HONYAR；</w:t>
      </w:r>
    </w:p>
    <w:p w14:paraId="716F7537">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28、本工程使用的卫生洁具品牌要求如下其一：法恩莎、箭牌、九牧、扬子；</w:t>
      </w:r>
    </w:p>
    <w:p w14:paraId="7876629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29、本工程使用的开关插座、面板品牌要求如下其一：公牛BULL、Schneider施耐德电气、SIEMENS西门子、德力西DELIXI；</w:t>
      </w:r>
    </w:p>
    <w:p w14:paraId="5DA12DE1">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eastAsia" w:ascii="仿宋" w:hAnsi="仿宋" w:eastAsia="仿宋" w:cs="仿宋"/>
          <w:kern w:val="2"/>
          <w:lang w:val="en-US" w:eastAsia="zh-CN"/>
        </w:rPr>
      </w:pPr>
      <w:r>
        <w:rPr>
          <w:rFonts w:hint="eastAsia" w:ascii="仿宋" w:hAnsi="仿宋" w:eastAsia="仿宋" w:cs="仿宋"/>
          <w:kern w:val="2"/>
          <w:lang w:val="en-US" w:eastAsia="zh-CN"/>
        </w:rPr>
        <w:t>30、本工程使用的灯具品牌要求如下其一：欧普照明、飞利浦/Philips、松下/Panasonic、雷士/NVC；</w:t>
      </w:r>
    </w:p>
    <w:p w14:paraId="5C4B288D">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31、本工程使用的空调品牌要求如下其一：美的、海尔、飞利浦、扬子、格力；</w:t>
      </w:r>
    </w:p>
    <w:p w14:paraId="56A7DA40">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32、本工程使用的电缆、电线品牌要求如下其一：扬子、远东、江南；</w:t>
      </w:r>
    </w:p>
    <w:p w14:paraId="48370805">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33、本工程使用的冷、热水管品牌要求如下其一：公元、伟星、日丰；</w:t>
      </w:r>
    </w:p>
    <w:p w14:paraId="6AB433E6">
      <w:pPr>
        <w:pStyle w:val="17"/>
        <w:pageBreakBefore w:val="0"/>
        <w:widowControl/>
        <w:numPr>
          <w:ilvl w:val="0"/>
          <w:numId w:val="0"/>
        </w:numPr>
        <w:kinsoku/>
        <w:wordWrap/>
        <w:overflowPunct/>
        <w:topLinePunct w:val="0"/>
        <w:autoSpaceDE/>
        <w:autoSpaceDN/>
        <w:bidi w:val="0"/>
        <w:adjustRightInd/>
        <w:snapToGrid/>
        <w:spacing w:beforeAutospacing="0" w:afterAutospacing="0" w:line="500" w:lineRule="exact"/>
        <w:ind w:firstLine="480"/>
        <w:textAlignment w:val="auto"/>
        <w:rPr>
          <w:rFonts w:hint="default" w:ascii="仿宋" w:hAnsi="仿宋" w:eastAsia="仿宋" w:cs="仿宋"/>
          <w:kern w:val="2"/>
          <w:lang w:val="en-US" w:eastAsia="zh-CN"/>
        </w:rPr>
      </w:pPr>
      <w:r>
        <w:rPr>
          <w:rFonts w:hint="eastAsia" w:ascii="仿宋" w:hAnsi="仿宋" w:eastAsia="仿宋" w:cs="仿宋"/>
          <w:kern w:val="2"/>
          <w:lang w:val="en-US" w:eastAsia="zh-CN"/>
        </w:rPr>
        <w:t>34、本工程编制期间，存在多版修改图纸，编制方以收到的最后一版图纸为编制依据，若招标图纸与此版图纸及清单有冲突，非我方编制疏漏。</w:t>
      </w:r>
    </w:p>
    <w:p w14:paraId="73064F88">
      <w:pPr>
        <w:pStyle w:val="17"/>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hint="eastAsia" w:ascii="宋体" w:hAnsi="宋体" w:cs="宋体"/>
          <w:b/>
          <w:bCs/>
          <w:kern w:val="2"/>
        </w:rPr>
      </w:pPr>
    </w:p>
    <w:p w14:paraId="42F8D4FD">
      <w:pPr>
        <w:keepNext w:val="0"/>
        <w:keepLines w:val="0"/>
        <w:pageBreakBefore w:val="0"/>
        <w:kinsoku/>
        <w:wordWrap/>
        <w:overflowPunct/>
        <w:topLinePunct w:val="0"/>
        <w:autoSpaceDE/>
        <w:autoSpaceDN/>
        <w:bidi w:val="0"/>
        <w:adjustRightInd/>
        <w:snapToGrid/>
        <w:spacing w:line="500" w:lineRule="exact"/>
        <w:textAlignment w:val="auto"/>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六</w:t>
      </w:r>
      <w:r>
        <w:rPr>
          <w:rFonts w:hint="eastAsia" w:asciiTheme="minorEastAsia" w:hAnsiTheme="minorEastAsia" w:eastAsiaTheme="minorEastAsia" w:cstheme="minorEastAsia"/>
          <w:b/>
          <w:bCs/>
          <w:sz w:val="24"/>
        </w:rPr>
        <w:t>、暂列金额及专业工程暂估价</w:t>
      </w:r>
    </w:p>
    <w:p w14:paraId="7D8B0D3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rPr>
      </w:pPr>
      <w:r>
        <w:rPr>
          <w:rFonts w:hint="eastAsia" w:ascii="仿宋" w:hAnsi="仿宋" w:eastAsia="仿宋" w:cs="仿宋"/>
          <w:sz w:val="24"/>
        </w:rPr>
        <w:t>本项目暂列金</w:t>
      </w:r>
      <w:r>
        <w:rPr>
          <w:rFonts w:hint="eastAsia" w:ascii="仿宋" w:hAnsi="仿宋" w:eastAsia="仿宋" w:cs="仿宋"/>
          <w:sz w:val="24"/>
          <w:lang w:val="en-US" w:eastAsia="zh-CN"/>
        </w:rPr>
        <w:t>10</w:t>
      </w:r>
      <w:r>
        <w:rPr>
          <w:rFonts w:hint="eastAsia" w:ascii="仿宋" w:hAnsi="仿宋" w:eastAsia="仿宋" w:cs="仿宋"/>
          <w:sz w:val="24"/>
        </w:rPr>
        <w:t>万元、专业工程暂估价</w:t>
      </w:r>
      <w:r>
        <w:rPr>
          <w:rFonts w:hint="eastAsia" w:ascii="仿宋" w:hAnsi="仿宋" w:eastAsia="仿宋" w:cs="仿宋"/>
          <w:sz w:val="24"/>
          <w:lang w:val="en-US" w:eastAsia="zh-CN"/>
        </w:rPr>
        <w:t>18</w:t>
      </w:r>
      <w:r>
        <w:rPr>
          <w:rFonts w:hint="eastAsia" w:ascii="仿宋" w:hAnsi="仿宋" w:eastAsia="仿宋" w:cs="仿宋"/>
          <w:sz w:val="24"/>
        </w:rPr>
        <w:t>万元</w:t>
      </w:r>
      <w:r>
        <w:rPr>
          <w:rFonts w:hint="eastAsia" w:ascii="仿宋" w:hAnsi="仿宋" w:eastAsia="仿宋" w:cs="仿宋"/>
          <w:sz w:val="24"/>
          <w:lang w:eastAsia="zh-CN"/>
        </w:rPr>
        <w:t>。</w:t>
      </w:r>
    </w:p>
    <w:p w14:paraId="2E955ED0">
      <w:pPr>
        <w:pStyle w:val="2"/>
        <w:rPr>
          <w:rFonts w:hint="eastAsia"/>
        </w:rPr>
      </w:pPr>
    </w:p>
    <w:p w14:paraId="2F2B5C0E">
      <w:pPr>
        <w:spacing w:line="360" w:lineRule="auto"/>
        <w:ind w:firstLine="5760" w:firstLineChars="2400"/>
      </w:pPr>
      <w:r>
        <w:rPr>
          <w:rFonts w:hint="eastAsia" w:ascii="仿宋" w:hAnsi="仿宋" w:eastAsia="仿宋" w:cs="仿宋"/>
          <w:sz w:val="24"/>
        </w:rPr>
        <w:t>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8</w:t>
      </w:r>
      <w:r>
        <w:rPr>
          <w:rFonts w:hint="eastAsia" w:ascii="仿宋" w:hAnsi="仿宋" w:eastAsia="仿宋" w:cs="仿宋"/>
          <w:sz w:val="24"/>
        </w:rPr>
        <w:t>月</w:t>
      </w:r>
      <w:r>
        <w:rPr>
          <w:rFonts w:hint="eastAsia" w:ascii="仿宋" w:hAnsi="仿宋" w:eastAsia="仿宋" w:cs="仿宋"/>
          <w:sz w:val="24"/>
          <w:lang w:val="en-US" w:eastAsia="zh-CN"/>
        </w:rPr>
        <w:t>20</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1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RmMTJlZTY2NmZlNGJkOTUyOWQ1Y2FmNDZiMTZjYjgifQ=="/>
    <w:docVar w:name="KSO_WPS_MARK_KEY" w:val="3025910a-3134-4abc-872a-062dd53fee9c"/>
  </w:docVars>
  <w:rsids>
    <w:rsidRoot w:val="00912A44"/>
    <w:rsid w:val="000573A6"/>
    <w:rsid w:val="000D36D8"/>
    <w:rsid w:val="00101EB3"/>
    <w:rsid w:val="00237C18"/>
    <w:rsid w:val="00405E66"/>
    <w:rsid w:val="004500C1"/>
    <w:rsid w:val="004C32E4"/>
    <w:rsid w:val="00620BE2"/>
    <w:rsid w:val="00687627"/>
    <w:rsid w:val="00735AE6"/>
    <w:rsid w:val="00821A4E"/>
    <w:rsid w:val="00912A44"/>
    <w:rsid w:val="009A3E1E"/>
    <w:rsid w:val="009C1456"/>
    <w:rsid w:val="009C2934"/>
    <w:rsid w:val="00A476F5"/>
    <w:rsid w:val="00AF1115"/>
    <w:rsid w:val="00AF60BF"/>
    <w:rsid w:val="00B765B2"/>
    <w:rsid w:val="00C46D72"/>
    <w:rsid w:val="00C82727"/>
    <w:rsid w:val="00D6710C"/>
    <w:rsid w:val="00E85F0F"/>
    <w:rsid w:val="00E97B44"/>
    <w:rsid w:val="00ED1E53"/>
    <w:rsid w:val="00F34D82"/>
    <w:rsid w:val="00FB00DC"/>
    <w:rsid w:val="025F5E6B"/>
    <w:rsid w:val="02BE65C6"/>
    <w:rsid w:val="02E031C7"/>
    <w:rsid w:val="04233EDB"/>
    <w:rsid w:val="04710886"/>
    <w:rsid w:val="048C2CF2"/>
    <w:rsid w:val="04E96791"/>
    <w:rsid w:val="04F74542"/>
    <w:rsid w:val="04F9596A"/>
    <w:rsid w:val="051A04B6"/>
    <w:rsid w:val="0558691B"/>
    <w:rsid w:val="057534A8"/>
    <w:rsid w:val="058B7E08"/>
    <w:rsid w:val="05A866A1"/>
    <w:rsid w:val="062F6EE0"/>
    <w:rsid w:val="06595702"/>
    <w:rsid w:val="069468A4"/>
    <w:rsid w:val="06B74EC6"/>
    <w:rsid w:val="08C03285"/>
    <w:rsid w:val="08F655F4"/>
    <w:rsid w:val="091A7535"/>
    <w:rsid w:val="09B3229D"/>
    <w:rsid w:val="0B052B16"/>
    <w:rsid w:val="0B0E45DB"/>
    <w:rsid w:val="0B5631F1"/>
    <w:rsid w:val="0B70168E"/>
    <w:rsid w:val="0B93580C"/>
    <w:rsid w:val="0B9D32D5"/>
    <w:rsid w:val="0BBC2A21"/>
    <w:rsid w:val="0BBE064B"/>
    <w:rsid w:val="0BC66564"/>
    <w:rsid w:val="0BEA38F7"/>
    <w:rsid w:val="0C1D5606"/>
    <w:rsid w:val="0C3954D4"/>
    <w:rsid w:val="0C420457"/>
    <w:rsid w:val="0C6E2D49"/>
    <w:rsid w:val="0D2E3E1D"/>
    <w:rsid w:val="0D364D6D"/>
    <w:rsid w:val="0D365F0E"/>
    <w:rsid w:val="0D4C13CD"/>
    <w:rsid w:val="0DE95727"/>
    <w:rsid w:val="0FAB7138"/>
    <w:rsid w:val="0FF95498"/>
    <w:rsid w:val="10730933"/>
    <w:rsid w:val="10BA5B9A"/>
    <w:rsid w:val="10C502F0"/>
    <w:rsid w:val="10FD06A8"/>
    <w:rsid w:val="117A14B8"/>
    <w:rsid w:val="11C72224"/>
    <w:rsid w:val="12044D63"/>
    <w:rsid w:val="12103BCB"/>
    <w:rsid w:val="12D81AC0"/>
    <w:rsid w:val="12E00C08"/>
    <w:rsid w:val="133B7529"/>
    <w:rsid w:val="13D413DF"/>
    <w:rsid w:val="14182B27"/>
    <w:rsid w:val="14CB3884"/>
    <w:rsid w:val="14ED6343"/>
    <w:rsid w:val="15AF7016"/>
    <w:rsid w:val="17FB294F"/>
    <w:rsid w:val="18786C87"/>
    <w:rsid w:val="19286289"/>
    <w:rsid w:val="19496C14"/>
    <w:rsid w:val="1AB22AC3"/>
    <w:rsid w:val="1AC669C5"/>
    <w:rsid w:val="1B883BFA"/>
    <w:rsid w:val="1BCC3B0F"/>
    <w:rsid w:val="1C9C6787"/>
    <w:rsid w:val="1CE61C7E"/>
    <w:rsid w:val="1D101863"/>
    <w:rsid w:val="1D786740"/>
    <w:rsid w:val="1E016059"/>
    <w:rsid w:val="1E1944EE"/>
    <w:rsid w:val="1E671D89"/>
    <w:rsid w:val="1E6A6411"/>
    <w:rsid w:val="1E9C2E98"/>
    <w:rsid w:val="1F46413A"/>
    <w:rsid w:val="20170D02"/>
    <w:rsid w:val="214712D7"/>
    <w:rsid w:val="216158DD"/>
    <w:rsid w:val="21986940"/>
    <w:rsid w:val="21F55869"/>
    <w:rsid w:val="222F7FAB"/>
    <w:rsid w:val="22490ADA"/>
    <w:rsid w:val="22D81928"/>
    <w:rsid w:val="22D94C19"/>
    <w:rsid w:val="230D426F"/>
    <w:rsid w:val="23433B63"/>
    <w:rsid w:val="239879A2"/>
    <w:rsid w:val="23A36468"/>
    <w:rsid w:val="23A74B25"/>
    <w:rsid w:val="243A5492"/>
    <w:rsid w:val="252C2672"/>
    <w:rsid w:val="26A14D0A"/>
    <w:rsid w:val="26F13F98"/>
    <w:rsid w:val="27586F25"/>
    <w:rsid w:val="28766E96"/>
    <w:rsid w:val="28883872"/>
    <w:rsid w:val="29235B3A"/>
    <w:rsid w:val="2987267E"/>
    <w:rsid w:val="29906E0D"/>
    <w:rsid w:val="299B081E"/>
    <w:rsid w:val="2A010115"/>
    <w:rsid w:val="2AB473E3"/>
    <w:rsid w:val="2AC4222E"/>
    <w:rsid w:val="2B052A81"/>
    <w:rsid w:val="2B150A38"/>
    <w:rsid w:val="2B605D53"/>
    <w:rsid w:val="2BC36CD5"/>
    <w:rsid w:val="2BFD0848"/>
    <w:rsid w:val="2C6A4377"/>
    <w:rsid w:val="2D577CE8"/>
    <w:rsid w:val="2D7E28F3"/>
    <w:rsid w:val="2D935407"/>
    <w:rsid w:val="2E6E4998"/>
    <w:rsid w:val="2EB84112"/>
    <w:rsid w:val="2FC531EA"/>
    <w:rsid w:val="304E7467"/>
    <w:rsid w:val="310B51BE"/>
    <w:rsid w:val="31101099"/>
    <w:rsid w:val="313A4EEF"/>
    <w:rsid w:val="31972760"/>
    <w:rsid w:val="31DE5646"/>
    <w:rsid w:val="322357A1"/>
    <w:rsid w:val="322A618B"/>
    <w:rsid w:val="32494CEE"/>
    <w:rsid w:val="325F3A08"/>
    <w:rsid w:val="32844485"/>
    <w:rsid w:val="32872256"/>
    <w:rsid w:val="33615A65"/>
    <w:rsid w:val="340B15B6"/>
    <w:rsid w:val="344F20D8"/>
    <w:rsid w:val="34991A91"/>
    <w:rsid w:val="3589141A"/>
    <w:rsid w:val="359E29CA"/>
    <w:rsid w:val="362A3F38"/>
    <w:rsid w:val="365A504C"/>
    <w:rsid w:val="368D0A96"/>
    <w:rsid w:val="37A524F8"/>
    <w:rsid w:val="382B7FA4"/>
    <w:rsid w:val="38804D57"/>
    <w:rsid w:val="3A417FB1"/>
    <w:rsid w:val="3A570EEA"/>
    <w:rsid w:val="3A85157A"/>
    <w:rsid w:val="3AE3016D"/>
    <w:rsid w:val="3AFE5F43"/>
    <w:rsid w:val="3B8A44AF"/>
    <w:rsid w:val="3C3D7AFF"/>
    <w:rsid w:val="3CA53FC3"/>
    <w:rsid w:val="3DA65E28"/>
    <w:rsid w:val="3E7C6B8A"/>
    <w:rsid w:val="3FBF043D"/>
    <w:rsid w:val="405E4C20"/>
    <w:rsid w:val="40713985"/>
    <w:rsid w:val="40D32442"/>
    <w:rsid w:val="41580A54"/>
    <w:rsid w:val="415C5B72"/>
    <w:rsid w:val="418A09F4"/>
    <w:rsid w:val="42002CDB"/>
    <w:rsid w:val="424F21A6"/>
    <w:rsid w:val="432D2338"/>
    <w:rsid w:val="43DB2259"/>
    <w:rsid w:val="43DF7B71"/>
    <w:rsid w:val="43F67DF0"/>
    <w:rsid w:val="441659FF"/>
    <w:rsid w:val="443E6856"/>
    <w:rsid w:val="4497183B"/>
    <w:rsid w:val="44C52EFC"/>
    <w:rsid w:val="45B20A8F"/>
    <w:rsid w:val="46B569DA"/>
    <w:rsid w:val="479003E6"/>
    <w:rsid w:val="47D76541"/>
    <w:rsid w:val="490307A7"/>
    <w:rsid w:val="49A865D3"/>
    <w:rsid w:val="4AE86F32"/>
    <w:rsid w:val="4B3724BB"/>
    <w:rsid w:val="4B80075D"/>
    <w:rsid w:val="4BFB532D"/>
    <w:rsid w:val="4D072910"/>
    <w:rsid w:val="4D115A20"/>
    <w:rsid w:val="4DB67604"/>
    <w:rsid w:val="4E5C386E"/>
    <w:rsid w:val="4EC352C6"/>
    <w:rsid w:val="4EF37883"/>
    <w:rsid w:val="4F251D5C"/>
    <w:rsid w:val="4F950654"/>
    <w:rsid w:val="4FC33721"/>
    <w:rsid w:val="4FC542D6"/>
    <w:rsid w:val="503209A0"/>
    <w:rsid w:val="50C755E3"/>
    <w:rsid w:val="50DE6DC4"/>
    <w:rsid w:val="514D7C78"/>
    <w:rsid w:val="516440DC"/>
    <w:rsid w:val="5179153C"/>
    <w:rsid w:val="517E41AF"/>
    <w:rsid w:val="51C25A07"/>
    <w:rsid w:val="51CB51DB"/>
    <w:rsid w:val="51E54497"/>
    <w:rsid w:val="520E6AD8"/>
    <w:rsid w:val="5233019C"/>
    <w:rsid w:val="52623397"/>
    <w:rsid w:val="52B2497A"/>
    <w:rsid w:val="53402049"/>
    <w:rsid w:val="54FF3E42"/>
    <w:rsid w:val="550A578A"/>
    <w:rsid w:val="569E1F65"/>
    <w:rsid w:val="56BA0FDC"/>
    <w:rsid w:val="57C8653F"/>
    <w:rsid w:val="580A33C0"/>
    <w:rsid w:val="581540BD"/>
    <w:rsid w:val="58DE0B10"/>
    <w:rsid w:val="593060C2"/>
    <w:rsid w:val="59A74B3D"/>
    <w:rsid w:val="5A39434D"/>
    <w:rsid w:val="5A9C5DB6"/>
    <w:rsid w:val="5B3B184B"/>
    <w:rsid w:val="5B706906"/>
    <w:rsid w:val="5D231B8B"/>
    <w:rsid w:val="5D420294"/>
    <w:rsid w:val="5D80653E"/>
    <w:rsid w:val="5EE66828"/>
    <w:rsid w:val="5F071C15"/>
    <w:rsid w:val="5FBE2F38"/>
    <w:rsid w:val="5FDE0C6D"/>
    <w:rsid w:val="6072561F"/>
    <w:rsid w:val="60AB7677"/>
    <w:rsid w:val="60C30AE4"/>
    <w:rsid w:val="61163C0C"/>
    <w:rsid w:val="631017F1"/>
    <w:rsid w:val="63544A9A"/>
    <w:rsid w:val="63624EAC"/>
    <w:rsid w:val="64085818"/>
    <w:rsid w:val="64F47002"/>
    <w:rsid w:val="657E123C"/>
    <w:rsid w:val="65960D62"/>
    <w:rsid w:val="661D1FE7"/>
    <w:rsid w:val="66787BF9"/>
    <w:rsid w:val="669716D4"/>
    <w:rsid w:val="673366EC"/>
    <w:rsid w:val="673441CB"/>
    <w:rsid w:val="68550B65"/>
    <w:rsid w:val="68E62BD5"/>
    <w:rsid w:val="6AAD7198"/>
    <w:rsid w:val="6AB46045"/>
    <w:rsid w:val="6ABC2D30"/>
    <w:rsid w:val="6B5C045C"/>
    <w:rsid w:val="6BEE2E0C"/>
    <w:rsid w:val="6C305415"/>
    <w:rsid w:val="6C361AB7"/>
    <w:rsid w:val="6C801326"/>
    <w:rsid w:val="6D463EAB"/>
    <w:rsid w:val="6D466740"/>
    <w:rsid w:val="6EB4024E"/>
    <w:rsid w:val="6FA06C08"/>
    <w:rsid w:val="70101F83"/>
    <w:rsid w:val="705B1CD4"/>
    <w:rsid w:val="70C97DF0"/>
    <w:rsid w:val="70D9318C"/>
    <w:rsid w:val="70DB62B7"/>
    <w:rsid w:val="71597A7D"/>
    <w:rsid w:val="71663887"/>
    <w:rsid w:val="71A4517F"/>
    <w:rsid w:val="720127B7"/>
    <w:rsid w:val="7212231F"/>
    <w:rsid w:val="723F0BC9"/>
    <w:rsid w:val="724369E1"/>
    <w:rsid w:val="73612AB3"/>
    <w:rsid w:val="73686789"/>
    <w:rsid w:val="73A3131E"/>
    <w:rsid w:val="73CF2113"/>
    <w:rsid w:val="74271BF7"/>
    <w:rsid w:val="743B6DB2"/>
    <w:rsid w:val="74B2437C"/>
    <w:rsid w:val="74E750AC"/>
    <w:rsid w:val="75DA5404"/>
    <w:rsid w:val="76FE1523"/>
    <w:rsid w:val="778E4093"/>
    <w:rsid w:val="77B85A14"/>
    <w:rsid w:val="785B04FA"/>
    <w:rsid w:val="78BD097C"/>
    <w:rsid w:val="7AB06C72"/>
    <w:rsid w:val="7B8444BC"/>
    <w:rsid w:val="7C091598"/>
    <w:rsid w:val="7CB42A89"/>
    <w:rsid w:val="7CD51E4B"/>
    <w:rsid w:val="7DAF0141"/>
    <w:rsid w:val="7EFA4D5D"/>
    <w:rsid w:val="7EFB0260"/>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0"/>
    <w:pPr>
      <w:keepNext/>
      <w:keepLines/>
      <w:spacing w:line="576" w:lineRule="auto"/>
      <w:outlineLvl w:val="0"/>
    </w:pPr>
    <w:rPr>
      <w:b/>
      <w:kern w:val="44"/>
      <w:sz w:val="44"/>
    </w:rPr>
  </w:style>
  <w:style w:type="paragraph" w:styleId="2">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7"/>
    <w:semiHidden/>
    <w:unhideWhenUsed/>
    <w:qFormat/>
    <w:uiPriority w:val="0"/>
    <w:pPr>
      <w:keepNext/>
      <w:keepLines/>
      <w:spacing w:line="413" w:lineRule="auto"/>
      <w:outlineLvl w:val="2"/>
    </w:pPr>
    <w:rPr>
      <w:b/>
      <w:sz w:val="32"/>
    </w:rPr>
  </w:style>
  <w:style w:type="paragraph" w:styleId="5">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8"/>
    <w:qFormat/>
    <w:uiPriority w:val="0"/>
  </w:style>
  <w:style w:type="paragraph" w:styleId="7">
    <w:name w:val="Body Text Indent"/>
    <w:basedOn w:val="1"/>
    <w:next w:val="8"/>
    <w:link w:val="32"/>
    <w:qFormat/>
    <w:uiPriority w:val="0"/>
    <w:pPr>
      <w:ind w:left="420" w:leftChars="200"/>
    </w:pPr>
  </w:style>
  <w:style w:type="paragraph" w:styleId="8">
    <w:name w:val="envelope return"/>
    <w:basedOn w:val="1"/>
    <w:qFormat/>
    <w:uiPriority w:val="0"/>
    <w:pPr>
      <w:snapToGrid w:val="0"/>
    </w:pPr>
    <w:rPr>
      <w:rFonts w:ascii="Arial" w:hAnsi="Arial"/>
    </w:rPr>
  </w:style>
  <w:style w:type="paragraph" w:styleId="9">
    <w:name w:val="Plain Text"/>
    <w:basedOn w:val="1"/>
    <w:link w:val="26"/>
    <w:qFormat/>
    <w:uiPriority w:val="0"/>
    <w:rPr>
      <w:rFonts w:ascii="宋体" w:hAnsi="Courier New"/>
    </w:rPr>
  </w:style>
  <w:style w:type="paragraph" w:styleId="10">
    <w:name w:val="Date"/>
    <w:basedOn w:val="1"/>
    <w:next w:val="1"/>
    <w:link w:val="29"/>
    <w:qFormat/>
    <w:uiPriority w:val="0"/>
    <w:pPr>
      <w:ind w:left="100" w:leftChars="2500"/>
    </w:pPr>
  </w:style>
  <w:style w:type="paragraph" w:styleId="11">
    <w:name w:val="Body Text Indent 2"/>
    <w:basedOn w:val="1"/>
    <w:link w:val="23"/>
    <w:qFormat/>
    <w:uiPriority w:val="0"/>
    <w:pPr>
      <w:spacing w:line="480" w:lineRule="auto"/>
      <w:ind w:left="420" w:leftChars="200"/>
    </w:pPr>
  </w:style>
  <w:style w:type="paragraph" w:styleId="12">
    <w:name w:val="Balloon Text"/>
    <w:basedOn w:val="1"/>
    <w:link w:val="34"/>
    <w:qFormat/>
    <w:uiPriority w:val="0"/>
    <w:rPr>
      <w:sz w:val="18"/>
    </w:rPr>
  </w:style>
  <w:style w:type="paragraph" w:styleId="13">
    <w:name w:val="footer"/>
    <w:basedOn w:val="1"/>
    <w:link w:val="37"/>
    <w:qFormat/>
    <w:uiPriority w:val="0"/>
    <w:pPr>
      <w:tabs>
        <w:tab w:val="center" w:pos="4153"/>
        <w:tab w:val="right" w:pos="8306"/>
      </w:tabs>
      <w:snapToGrid w:val="0"/>
      <w:jc w:val="left"/>
    </w:pPr>
    <w:rPr>
      <w:sz w:val="18"/>
    </w:rPr>
  </w:style>
  <w:style w:type="paragraph" w:styleId="14">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Body Text Indent 3"/>
    <w:basedOn w:val="1"/>
    <w:link w:val="30"/>
    <w:qFormat/>
    <w:uiPriority w:val="0"/>
    <w:pPr>
      <w:ind w:left="420" w:leftChars="200"/>
    </w:pPr>
    <w:rPr>
      <w:sz w:val="16"/>
    </w:rPr>
  </w:style>
  <w:style w:type="paragraph" w:styleId="16">
    <w:name w:val="Body Text 2"/>
    <w:basedOn w:val="1"/>
    <w:link w:val="24"/>
    <w:qFormat/>
    <w:uiPriority w:val="0"/>
    <w:pPr>
      <w:spacing w:line="480" w:lineRule="auto"/>
    </w:pPr>
  </w:style>
  <w:style w:type="paragraph" w:styleId="17">
    <w:name w:val="Normal (Web)"/>
    <w:basedOn w:val="1"/>
    <w:qFormat/>
    <w:uiPriority w:val="0"/>
    <w:pPr>
      <w:spacing w:beforeAutospacing="1" w:afterAutospacing="1"/>
      <w:jc w:val="left"/>
    </w:pPr>
    <w:rPr>
      <w:kern w:val="0"/>
      <w:sz w:val="24"/>
    </w:rPr>
  </w:style>
  <w:style w:type="paragraph" w:styleId="18">
    <w:name w:val="Body Text First Indent 2"/>
    <w:basedOn w:val="7"/>
    <w:qFormat/>
    <w:uiPriority w:val="0"/>
    <w:pPr>
      <w:ind w:firstLine="420" w:firstLineChars="200"/>
    </w:p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字符"/>
    <w:basedOn w:val="20"/>
    <w:link w:val="11"/>
    <w:qFormat/>
    <w:uiPriority w:val="0"/>
    <w:rPr>
      <w:rFonts w:hint="default" w:ascii="Times New Roman" w:hAnsi="Times New Roman" w:cs="Times New Roman"/>
    </w:rPr>
  </w:style>
  <w:style w:type="character" w:customStyle="1" w:styleId="24">
    <w:name w:val="正文文本 2 字符"/>
    <w:basedOn w:val="20"/>
    <w:link w:val="16"/>
    <w:qFormat/>
    <w:uiPriority w:val="0"/>
    <w:rPr>
      <w:rFonts w:ascii="黑体" w:hAnsi="宋体" w:eastAsia="黑体" w:cs="黑体"/>
      <w:b/>
    </w:rPr>
  </w:style>
  <w:style w:type="character" w:customStyle="1" w:styleId="25">
    <w:name w:val="标题 1 字符"/>
    <w:basedOn w:val="20"/>
    <w:link w:val="3"/>
    <w:qFormat/>
    <w:uiPriority w:val="0"/>
    <w:rPr>
      <w:b/>
    </w:rPr>
  </w:style>
  <w:style w:type="character" w:customStyle="1" w:styleId="26">
    <w:name w:val="纯文本 字符"/>
    <w:basedOn w:val="20"/>
    <w:link w:val="9"/>
    <w:qFormat/>
    <w:uiPriority w:val="0"/>
    <w:rPr>
      <w:rFonts w:hint="eastAsia" w:ascii="宋体" w:hAnsi="宋体" w:eastAsia="宋体" w:cs="宋体"/>
    </w:rPr>
  </w:style>
  <w:style w:type="character" w:customStyle="1" w:styleId="27">
    <w:name w:val="标题 3 字符"/>
    <w:basedOn w:val="20"/>
    <w:link w:val="4"/>
    <w:qFormat/>
    <w:uiPriority w:val="0"/>
    <w:rPr>
      <w:b/>
    </w:rPr>
  </w:style>
  <w:style w:type="character" w:customStyle="1" w:styleId="28">
    <w:name w:val="正文文本 字符"/>
    <w:basedOn w:val="20"/>
    <w:link w:val="6"/>
    <w:qFormat/>
    <w:uiPriority w:val="0"/>
    <w:rPr>
      <w:rFonts w:ascii="仿宋_GB2312" w:eastAsia="仿宋_GB2312" w:cs="仿宋_GB2312"/>
    </w:rPr>
  </w:style>
  <w:style w:type="character" w:customStyle="1" w:styleId="29">
    <w:name w:val="日期 字符"/>
    <w:basedOn w:val="20"/>
    <w:link w:val="10"/>
    <w:qFormat/>
    <w:uiPriority w:val="0"/>
  </w:style>
  <w:style w:type="character" w:customStyle="1" w:styleId="30">
    <w:name w:val="正文文本缩进 3 字符"/>
    <w:basedOn w:val="20"/>
    <w:link w:val="15"/>
    <w:qFormat/>
    <w:uiPriority w:val="0"/>
    <w:rPr>
      <w:rFonts w:hint="default" w:ascii="Times New Roman" w:hAnsi="Times New Roman" w:cs="Times New Roman"/>
      <w:shd w:val="clear" w:color="auto" w:fill="FFFFFF"/>
    </w:rPr>
  </w:style>
  <w:style w:type="character" w:customStyle="1" w:styleId="31">
    <w:name w:val="标题 2 字符"/>
    <w:basedOn w:val="20"/>
    <w:link w:val="2"/>
    <w:qFormat/>
    <w:uiPriority w:val="0"/>
    <w:rPr>
      <w:rFonts w:ascii="等线 Light" w:hAnsi="等线 Light" w:eastAsia="等线 Light" w:cs="等线 Light"/>
      <w:b/>
    </w:rPr>
  </w:style>
  <w:style w:type="character" w:customStyle="1" w:styleId="32">
    <w:name w:val="正文文本缩进 字符"/>
    <w:basedOn w:val="20"/>
    <w:link w:val="7"/>
    <w:qFormat/>
    <w:uiPriority w:val="0"/>
    <w:rPr>
      <w:rFonts w:hint="default" w:ascii="仿宋_GB2312" w:eastAsia="仿宋_GB2312" w:cs="仿宋_GB2312"/>
    </w:rPr>
  </w:style>
  <w:style w:type="character" w:customStyle="1" w:styleId="33">
    <w:name w:val="标题 4 字符"/>
    <w:basedOn w:val="20"/>
    <w:link w:val="5"/>
    <w:qFormat/>
    <w:uiPriority w:val="0"/>
    <w:rPr>
      <w:rFonts w:hint="eastAsia" w:ascii="等线 Light" w:hAnsi="等线 Light" w:eastAsia="等线 Light" w:cs="等线 Light"/>
      <w:b/>
    </w:rPr>
  </w:style>
  <w:style w:type="character" w:customStyle="1" w:styleId="34">
    <w:name w:val="批注框文本 字符"/>
    <w:basedOn w:val="20"/>
    <w:link w:val="12"/>
    <w:qFormat/>
    <w:uiPriority w:val="0"/>
  </w:style>
  <w:style w:type="character" w:customStyle="1" w:styleId="35">
    <w:name w:val="页眉 字符"/>
    <w:basedOn w:val="20"/>
    <w:link w:val="14"/>
    <w:qFormat/>
    <w:uiPriority w:val="0"/>
    <w:rPr>
      <w:rFonts w:hint="default" w:ascii="Times New Roman" w:hAnsi="Times New Roman" w:cs="Times New Roman"/>
    </w:rPr>
  </w:style>
  <w:style w:type="character" w:customStyle="1" w:styleId="36">
    <w:name w:val="要点2"/>
    <w:basedOn w:val="20"/>
    <w:qFormat/>
    <w:uiPriority w:val="0"/>
    <w:rPr>
      <w:b/>
      <w:color w:val="111111"/>
    </w:rPr>
  </w:style>
  <w:style w:type="character" w:customStyle="1" w:styleId="37">
    <w:name w:val="页脚 字符"/>
    <w:basedOn w:val="20"/>
    <w:link w:val="13"/>
    <w:qFormat/>
    <w:uiPriority w:val="0"/>
    <w:rPr>
      <w:rFonts w:hint="default" w:ascii="Times New Roman" w:hAnsi="Times New Roman" w:cs="Times New Roman"/>
    </w:rPr>
  </w:style>
  <w:style w:type="paragraph" w:styleId="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1535</Words>
  <Characters>1675</Characters>
  <Lines>5</Lines>
  <Paragraphs>1</Paragraphs>
  <TotalTime>1</TotalTime>
  <ScaleCrop>false</ScaleCrop>
  <LinksUpToDate>false</LinksUpToDate>
  <CharactersWithSpaces>1675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流心_婧</cp:lastModifiedBy>
  <cp:lastPrinted>2023-09-11T06:18:00Z</cp:lastPrinted>
  <dcterms:modified xsi:type="dcterms:W3CDTF">2024-09-03T08:28:52Z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A30D2750BB454D87BF0A168667EB27DD</vt:lpwstr>
  </property>
</Properties>
</file>